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852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Techniki zabiegów medycznych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anatomii, biologii chemii i fizyki na poziomie maturalnym.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Przygotowanie studenta do interpretowania i rozumienia wiedzy z zakresu: - oceny stanu biopsychospełecznego pacjenta - pomiarów parametrów życiowych i norm fizjologicznych człowieka - podstawowych metod i technik niezbędnych do diagnozowania, pielęgnowania i leczenia pacjenta - istoty poszczególnych działań i zabiegów.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Przygotowanie studenta w zakresie umiejętności do: - wykonania czynności higienicznych, diagnostycznych i profilaktycznych - asystowania przy wykonywaniu zabiegów diagnostycznych i terapeutycznych.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Kształtowanie postawy studenta do: - aktywnego pogłębiania wiedzy i umiejętności z zakresu techniki zabiegów - przekonania o znaczeniu wiedzy i umiejętności z zakresu techniki zabiegów w praktyce zawodowej ratownictwa medycznego.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C.W22 techniki symulacji medycznej w niezabiegowych dziedzinach medycyny;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 zasady i technikę wykonywania opatrunków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C.W46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przygotowania do zabiegów medycznych w stanach zagrożenia życia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C.W47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postępowania z pacjentem z założonym cewnikiem zewnętrznym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C.W48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toalety drzewa oskrzelowego u pacjenta zaintubowanego;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C.W49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wykonywania toalety u pacjenta z założoną rurką tracheostomijną i pielęgnacji tracheostomii;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techniki zabiegów medycznych wykonywanych samodzielnie przez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aseptyki i antyseptyki;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C.W52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zasady zabezpieczania materiału biologicznego do badań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C.W88 zastosowanie symulacji medycznej w nauczaniu procedur zabiegowych;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1670" w:leader="none"/>
              </w:tabs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C.W97 zasady cewnikowania pęcherza moczowego;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C.W98 procedurę zakładania sondy żołądkowej i płukania żołądka;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C.U19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prowadzić dokumentację medyczną w zakresie wykonywanych czynności, w tym w przypadku zgonu pacjenta, urodzenia dziecka martwego i odstąpienia od medycznych czynności ratunkowych;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podawać pacjentowi leki i płyny;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BodyTextIndented"/>
              <w:widowControl w:val="false"/>
              <w:tabs>
                <w:tab w:val="clear" w:pos="708"/>
                <w:tab w:val="left" w:pos="720" w:leader="none"/>
              </w:tabs>
              <w:spacing w:before="0" w:after="120"/>
              <w:ind w:hanging="0" w:left="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  <w:t xml:space="preserve">C.U21 </w:t>
            </w:r>
            <w:r>
              <w:rPr>
                <w:sz w:val="20"/>
                <w:szCs w:val="20"/>
                <w:shd w:fill="auto" w:val="clear"/>
              </w:rPr>
              <w:t>oznaczać stężenie glukozy z użyciem glukometru;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zakładać zgłębnik dożołądkowy;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zakładać cewnik do pęcherza moczowego;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3600" w:leader="none"/>
              </w:tabs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C.U24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asystować przy czynnościach przygotowawczych do transplantacji narządów;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color w:val="111111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C.U27 identyfikować błędy i zaniedbania w praktyce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color w:val="111111"/>
              </w:rPr>
            </w:pP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C.U30 oceniać stopień nasilenia bólu według znanych skal;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9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przywracać drożność dróg oddechowych metodami bezprzyrządowymi;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9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przyrządowo udrażniać drogi oddechowe metodami nadgłośniowymi;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9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C.U41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intubację dotchawiczą w laryngoskopii bezpośredniej i pośredniej;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9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C.U42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wykonywać konikopunkcję;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9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C.U43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wdrażać tlenoterapię zależnie od potrzeb pacjenta i wspomagać oddech;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color w:val="111111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C.U49 wykonywać dostęp doszpikowy przy użyciu gotowego zestawu;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color w:val="111111"/>
              </w:rPr>
            </w:pP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C.U50 pobierać krew oraz zabezpieczać materiał do badań laboratoryjnych, mikrobiologicznych i toksykologicznych;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color w:val="111111"/>
              </w:rPr>
            </w:pPr>
            <w:r>
              <w:rPr>
                <w:color w:val="111111"/>
              </w:rPr>
              <w:t>C.U52 stabilizować i unieruchamiać kręgosłup;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color w:val="111111"/>
              </w:rPr>
            </w:pPr>
            <w:r>
              <w:rPr>
                <w:color w:val="111111"/>
              </w:rPr>
              <w:t>C.U62 identyfikować błędy i zaniedbania w praktyce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40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276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44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32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16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Wentylacja pacjentów w OIT i transporcie medycznym.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Przygotowanie zestawu i wykonanie procedury cewnikowania pęcherza moczowego.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Założenie dostępu dożylnego oraz doszpikowego. Przygotowanie i podanie wybranych leków drogę dożylną.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Przygotowanie zestawu i wykonanie procedury zakładania sondy żołądkowej oraz płukania żołądka.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Zapewnienie drożności dróg oddechowych oraz wykonanie toalety drzewa oskrzelowego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Pobieranie materiału do badań laboratoryjnych, mikrobiologicznych i toksykologicznych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Przygotowanie i wykonanie elektroterapii ratunkowej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Postępowanie ratownicze w urazach narządu ruchu i ranach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i wykonanie wlewu doodbytniczego.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Pobieranie materiału do badań np: pomiar glikemii przy użyciu glukometru, pobieranie krwi do badań, wypełnianie dokumentacji i przesyłanie do diagnostyki labolatoryjnej.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świadomości poszkodowanych z wykorzystaniem skali AVPU i GCS.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oddychania poszkodowanych nieprzytomnych i przytomnych.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krążenia bez i z wykorzystaniem sprzętu (pulsoksymetru, aparatu do mierzenia RR aparatu Ekg, stetoskopu).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termoregulacji.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oczu w ocenie zaburzeń świadomości i stanów nagłych.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Przygotowanie do wykonywania zabiegów aseptycznych (czystość bakteriologiczna, higieniczne mycie rąk).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podskórną w sposób standardowy.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domięśniową w sposób standardowy.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Kaniulacja żył obwodowych z wykorzystaniem igły i venflonu.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dożylnie przez venflon i we wlewie kroplowym.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Pobieranie krwi żylnej do badań laboratoryjnych systemem zamkniętym.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Alternatywne sposoby wstrzyknięć domięśniowych (udo, ramię, mięsień pośladkowy po stronie brzusznej metodą Hochstettera i Sachtlebena).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Ćwiczenie umiejętności przeliczania dawek leków z uwzględnieniem objętości, stężenia, jednostek i masy ciała.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Wykorzystanie pompy infuzyjnej do podawania leków i.v.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Farmakoterapia w zakresie leków z tabeli do samodzielnego stosowania przez ratowników medycznych.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Alternatywne sposoby dojścia dożylnego (żyła szyjna zewnętrzna, motylek, wszczepialny port naczyniowy).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Alternatywne sposoby pobierania krwi do badań laboratoryjnych z uwzględnieniem eliminowania błędów przedlaboratoryjnych (system zamknięty próżniowy, krew włośniczkowa do kapilary).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Alternatywne sposoby podawania leków drogą podskórną ( insulina w Penie, insulinówce, </w:t>
              <w:br/>
              <w:t>heparyna drobnocząsteczkowa w ampułkostrzykawce).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Wykorzystanie glukometrów fotometrycznych i elektrometrycznych.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Pobieranie krwi do badań wykonywanych w analizatorze parametrów krytycznych.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droga pokarmową (p.o., s.l., p.r. w tym wlewki, lewatywy, sucha rurka do odbytu).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Tlenoterapia z wykorzystaniem sprzętu medycznego.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w nebulizacji.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Wykonywanie wkłuć doszpikowych przy użyciu gotowych zestawów i podawanie leków i.o.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4"/>
              </w:numPr>
              <w:spacing w:lineRule="auto" w:line="240" w:before="0" w:after="0"/>
              <w:ind w:hanging="360" w:left="373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Frank Flake, Klaus Runggaldier: Ratownictwo medyczne. Procedury od A do Z; Wydanie: Wrocław, 2020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Red. Podlewski, Roland ;Medyczne czynności ratunkowe w praktyce ratownika medycznego Tom 1;Wydanie: PZWL Wydawnictwo Lekarskie 2025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Rozporządzenie Ministra Zdrowia z dnia 22 czerwca 2023 r. w sprawie medycznych czynności ratunkowych i świadczeń zdrowotnych innych niż medyczne czynności ratunkowe, które mogą być udzielane przez ratownika medycznego (Dz.U. 2023 poz. 1180)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Default"/>
              <w:numPr>
                <w:ilvl w:val="0"/>
                <w:numId w:val="1"/>
              </w:numPr>
              <w:suppressAutoHyphens w:val="false"/>
              <w:ind w:hanging="360" w:left="37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European Resuscitation Council (ERC), Polska Rada Resuscytacji. </w:t>
            </w:r>
            <w:r>
              <w:rPr>
                <w:rFonts w:cs="Times New Roman"/>
                <w:sz w:val="20"/>
                <w:szCs w:val="20"/>
              </w:rPr>
              <w:t>Andres J (red. wyd. polskiego): Wytyczne resuscytacji krążeniowo-oddechowej 2015. Polska Rada Resuscytacji. Kraków 2015.</w:t>
            </w:r>
          </w:p>
          <w:p>
            <w:pPr>
              <w:pStyle w:val="Default"/>
              <w:numPr>
                <w:ilvl w:val="0"/>
                <w:numId w:val="1"/>
              </w:numPr>
              <w:suppressAutoHyphens w:val="false"/>
              <w:ind w:hanging="360" w:left="373"/>
              <w:rPr/>
            </w:pPr>
            <w:r>
              <w:rPr>
                <w:bCs/>
                <w:iCs/>
                <w:sz w:val="20"/>
                <w:szCs w:val="20"/>
              </w:rPr>
              <w:t>Nutbeam T., Daniels R.: Procedury zabiegowe. Wydawnictwo Lekarskie PZWL, Warszawa 2012.</w:t>
            </w:r>
          </w:p>
          <w:p>
            <w:pPr>
              <w:pStyle w:val="Default"/>
              <w:numPr>
                <w:ilvl w:val="0"/>
                <w:numId w:val="1"/>
              </w:numPr>
              <w:suppressAutoHyphens w:val="false"/>
              <w:ind w:hanging="360" w:left="373"/>
              <w:rPr>
                <w:rFonts w:cs="Times New Roman"/>
                <w:bCs/>
                <w:iCs/>
                <w:sz w:val="20"/>
                <w:szCs w:val="20"/>
              </w:rPr>
            </w:pPr>
            <w:r>
              <w:rPr>
                <w:rFonts w:cs="Times New Roman"/>
                <w:bCs/>
                <w:iCs/>
                <w:sz w:val="20"/>
                <w:szCs w:val="20"/>
              </w:rPr>
              <w:t>Hebel K., Steliga A., Lewandowska K.: Procedury i checklisty w praktyce symulacji medycznej, kompetencje pielęgniarskie Tom 1 Wydawnictwo Lekarskie PZWL, Warszawa 2024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false"/>
        <w:bCs w:val="fals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BodyTextIndented">
    <w:name w:val="Body Text, Indented"/>
    <w:basedOn w:val="Normal"/>
    <w:qFormat/>
    <w:pPr>
      <w:spacing w:lineRule="auto" w:line="240" w:before="0" w:after="120"/>
      <w:ind w:hanging="0" w:left="283"/>
    </w:pPr>
    <w:rPr>
      <w:rFonts w:ascii="Times New Roman" w:hAnsi="Times New Roman" w:eastAsia="Times New Roman" w:cs="Times New Roman"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Application>LibreOffice/25.8.5.2$Windows_X86_64 LibreOffice_project/9c8b85f387cc00a89945a79c9e6239f32e450ac2</Application>
  <AppVersion>15.0000</AppVersion>
  <DocSecurity>0</DocSecurity>
  <Pages>4</Pages>
  <Words>1596</Words>
  <Characters>11295</Characters>
  <CharactersWithSpaces>12662</CharactersWithSpaces>
  <Paragraphs>246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2026-04-26T22:11:44Z</dcterms:modified>
  <cp:revision>356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